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2DF46" w14:textId="77777777" w:rsidR="0033649D" w:rsidRPr="00EE6BBF" w:rsidRDefault="00EE6BBF">
      <w:pPr>
        <w:rPr>
          <w:rFonts w:ascii="Arial" w:hAnsi="Arial" w:cs="Arial"/>
          <w:b/>
          <w:sz w:val="28"/>
        </w:rPr>
      </w:pPr>
      <w:bookmarkStart w:id="0" w:name="_GoBack"/>
      <w:bookmarkEnd w:id="0"/>
      <w:r w:rsidRPr="00EE6BBF">
        <w:rPr>
          <w:rFonts w:ascii="Arial" w:hAnsi="Arial" w:cs="Arial"/>
          <w:b/>
          <w:sz w:val="28"/>
        </w:rPr>
        <w:t xml:space="preserve">Preliminary Questions in relation to GA Analysis </w:t>
      </w:r>
      <w:proofErr w:type="spellStart"/>
      <w:r w:rsidRPr="00EE6BBF">
        <w:rPr>
          <w:rFonts w:ascii="Arial" w:hAnsi="Arial" w:cs="Arial"/>
          <w:b/>
          <w:sz w:val="28"/>
        </w:rPr>
        <w:t>Workform</w:t>
      </w:r>
      <w:proofErr w:type="spellEnd"/>
    </w:p>
    <w:p w14:paraId="398E0A5B" w14:textId="77777777" w:rsidR="00EE6BBF" w:rsidRDefault="00EE6BBF">
      <w:pPr>
        <w:rPr>
          <w:rFonts w:ascii="Arial" w:hAnsi="Arial" w:cs="Arial"/>
          <w:sz w:val="28"/>
        </w:rPr>
      </w:pPr>
    </w:p>
    <w:p w14:paraId="19300653" w14:textId="77777777" w:rsidR="00EE6BBF" w:rsidRDefault="00EE6BBF" w:rsidP="00481A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1B35AC">
        <w:rPr>
          <w:rFonts w:ascii="Arial" w:hAnsi="Arial" w:cs="Arial"/>
          <w:sz w:val="24"/>
          <w:szCs w:val="24"/>
        </w:rPr>
        <w:t>With regards to</w:t>
      </w:r>
      <w:proofErr w:type="gramEnd"/>
      <w:r w:rsidRPr="001B35AC">
        <w:rPr>
          <w:rFonts w:ascii="Arial" w:hAnsi="Arial" w:cs="Arial"/>
          <w:sz w:val="24"/>
          <w:szCs w:val="24"/>
        </w:rPr>
        <w:t xml:space="preserve"> the D</w:t>
      </w:r>
      <w:r>
        <w:rPr>
          <w:rFonts w:ascii="Arial" w:hAnsi="Arial" w:cs="Arial"/>
          <w:sz w:val="24"/>
          <w:szCs w:val="24"/>
        </w:rPr>
        <w:t>ec. 31 balance in Account 1589, expense components that flow into Account 1589 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to iv in table below) should all be based on actuals at year end. Please complete the following table </w:t>
      </w:r>
      <w:r w:rsidR="00005A46">
        <w:rPr>
          <w:rFonts w:ascii="Arial" w:hAnsi="Arial" w:cs="Arial"/>
          <w:sz w:val="24"/>
          <w:szCs w:val="24"/>
        </w:rPr>
        <w:t xml:space="preserve">for </w:t>
      </w:r>
      <w:r w:rsidR="00CE4AE7">
        <w:rPr>
          <w:rFonts w:ascii="Arial" w:hAnsi="Arial" w:cs="Arial"/>
          <w:sz w:val="24"/>
          <w:szCs w:val="24"/>
        </w:rPr>
        <w:t>each</w:t>
      </w:r>
      <w:r w:rsidR="00D923E9">
        <w:rPr>
          <w:rFonts w:ascii="Arial" w:hAnsi="Arial" w:cs="Arial"/>
          <w:sz w:val="24"/>
          <w:szCs w:val="24"/>
        </w:rPr>
        <w:t xml:space="preserve"> </w:t>
      </w:r>
      <w:r w:rsidR="00CE4AE7">
        <w:rPr>
          <w:rFonts w:ascii="Arial" w:hAnsi="Arial" w:cs="Arial"/>
          <w:sz w:val="24"/>
          <w:szCs w:val="24"/>
        </w:rPr>
        <w:t xml:space="preserve">of the </w:t>
      </w:r>
      <w:r w:rsidR="00005A46">
        <w:rPr>
          <w:rFonts w:ascii="Arial" w:hAnsi="Arial" w:cs="Arial"/>
          <w:sz w:val="24"/>
          <w:szCs w:val="24"/>
        </w:rPr>
        <w:t>Reconciling Item</w:t>
      </w:r>
      <w:r w:rsidR="00CE4AE7">
        <w:rPr>
          <w:rFonts w:ascii="Arial" w:hAnsi="Arial" w:cs="Arial"/>
          <w:sz w:val="24"/>
          <w:szCs w:val="24"/>
        </w:rPr>
        <w:t>s</w:t>
      </w:r>
      <w:r w:rsidR="00005A46">
        <w:rPr>
          <w:rFonts w:ascii="Arial" w:hAnsi="Arial" w:cs="Arial"/>
          <w:sz w:val="24"/>
          <w:szCs w:val="24"/>
        </w:rPr>
        <w:t xml:space="preserve"> 1a and 1b </w:t>
      </w:r>
      <w:r>
        <w:rPr>
          <w:rFonts w:ascii="Arial" w:hAnsi="Arial" w:cs="Arial"/>
          <w:sz w:val="24"/>
          <w:szCs w:val="24"/>
        </w:rPr>
        <w:t>to</w:t>
      </w:r>
      <w:r w:rsidR="00005A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a) indicate whether the component is based on estimates or actuals at year end</w:t>
      </w:r>
      <w:r w:rsidR="00005A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b) quantify the adjustment pertaining to each component that is trued up from estimate to actual</w:t>
      </w:r>
    </w:p>
    <w:p w14:paraId="4F4C44E8" w14:textId="77667E7C" w:rsidR="004921C6" w:rsidRPr="004921C6" w:rsidRDefault="004921C6" w:rsidP="004921C6">
      <w:pPr>
        <w:rPr>
          <w:rFonts w:ascii="Arial" w:hAnsi="Arial" w:cs="Arial"/>
          <w:color w:val="0070C0"/>
          <w:sz w:val="24"/>
          <w:lang w:val="en-CA"/>
        </w:rPr>
      </w:pPr>
      <w:r w:rsidRPr="004921C6">
        <w:rPr>
          <w:rFonts w:ascii="Arial" w:hAnsi="Arial" w:cs="Arial"/>
          <w:color w:val="0070C0"/>
          <w:sz w:val="24"/>
          <w:lang w:val="en-CA"/>
        </w:rPr>
        <w:t>Response to reconciling item 1a – December 31, 2015 amount o</w:t>
      </w:r>
      <w:r>
        <w:rPr>
          <w:rFonts w:ascii="Arial" w:hAnsi="Arial" w:cs="Arial"/>
          <w:color w:val="0070C0"/>
          <w:sz w:val="24"/>
          <w:lang w:val="en-CA"/>
        </w:rPr>
        <w:t>f</w:t>
      </w:r>
      <w:r w:rsidRPr="004921C6">
        <w:rPr>
          <w:rFonts w:ascii="Arial" w:hAnsi="Arial" w:cs="Arial"/>
          <w:color w:val="0070C0"/>
          <w:sz w:val="24"/>
          <w:lang w:val="en-CA"/>
        </w:rPr>
        <w:t xml:space="preserve"> ($264,382)</w:t>
      </w: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390"/>
        <w:gridCol w:w="1870"/>
        <w:gridCol w:w="1870"/>
        <w:gridCol w:w="3605"/>
        <w:gridCol w:w="1870"/>
      </w:tblGrid>
      <w:tr w:rsidR="00EE6BBF" w14:paraId="5D8B99FD" w14:textId="77777777" w:rsidTr="004430C5">
        <w:tc>
          <w:tcPr>
            <w:tcW w:w="390" w:type="dxa"/>
          </w:tcPr>
          <w:p w14:paraId="626F59A5" w14:textId="77777777" w:rsidR="00EE6BBF" w:rsidRPr="00360DCD" w:rsidRDefault="00EE6BBF" w:rsidP="004430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4CEF152" w14:textId="77777777" w:rsidR="00EE6BBF" w:rsidRPr="00360DCD" w:rsidRDefault="00EE6BBF" w:rsidP="004430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1870" w:type="dxa"/>
          </w:tcPr>
          <w:p w14:paraId="720CC395" w14:textId="77777777" w:rsidR="00EE6BBF" w:rsidRPr="00360DCD" w:rsidRDefault="00EE6BBF" w:rsidP="004430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a) Estimate or Actual</w:t>
            </w:r>
          </w:p>
        </w:tc>
        <w:tc>
          <w:tcPr>
            <w:tcW w:w="3605" w:type="dxa"/>
          </w:tcPr>
          <w:p w14:paraId="6EB82170" w14:textId="77777777" w:rsidR="00EE6BBF" w:rsidRPr="00360DCD" w:rsidRDefault="00EE6BBF" w:rsidP="004430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Notes/Comments</w:t>
            </w:r>
          </w:p>
        </w:tc>
        <w:tc>
          <w:tcPr>
            <w:tcW w:w="1870" w:type="dxa"/>
          </w:tcPr>
          <w:p w14:paraId="28E7BEB3" w14:textId="77777777" w:rsidR="00EE6BBF" w:rsidRPr="00360DCD" w:rsidRDefault="00EE6BBF" w:rsidP="004430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b) Quantify True Up  Adjustment</w:t>
            </w:r>
          </w:p>
        </w:tc>
      </w:tr>
      <w:tr w:rsidR="00EE6BBF" w14:paraId="47441925" w14:textId="77777777" w:rsidTr="004430C5">
        <w:tc>
          <w:tcPr>
            <w:tcW w:w="390" w:type="dxa"/>
          </w:tcPr>
          <w:p w14:paraId="4F9F6B41" w14:textId="77777777" w:rsidR="00EE6BBF" w:rsidRPr="00360DCD" w:rsidRDefault="00EE6BBF" w:rsidP="00005A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DC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870" w:type="dxa"/>
          </w:tcPr>
          <w:p w14:paraId="31E28F7B" w14:textId="77777777" w:rsidR="00EE6BBF" w:rsidRPr="00360DCD" w:rsidRDefault="00EE6BBF" w:rsidP="004430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to the quantum dollar amount </w:t>
            </w:r>
            <w:r>
              <w:rPr>
                <w:rFonts w:ascii="Arial" w:hAnsi="Arial" w:cs="Arial"/>
                <w:sz w:val="20"/>
                <w:szCs w:val="20"/>
              </w:rPr>
              <w:t>(i.e. is expense based on IESO invoice at year end)</w:t>
            </w:r>
          </w:p>
          <w:p w14:paraId="5BA7269E" w14:textId="77777777" w:rsidR="00EE6BBF" w:rsidRPr="00360DCD" w:rsidRDefault="00EE6BBF" w:rsidP="004430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681596F" w14:textId="720DDC0C" w:rsidR="00EE6BBF" w:rsidRPr="00360DCD" w:rsidRDefault="004921C6" w:rsidP="004430C5">
            <w:pPr>
              <w:rPr>
                <w:rFonts w:ascii="Arial" w:hAnsi="Arial" w:cs="Arial"/>
                <w:sz w:val="20"/>
                <w:szCs w:val="20"/>
              </w:rPr>
            </w:pPr>
            <w:r w:rsidRPr="007A0D0D">
              <w:rPr>
                <w:rFonts w:ascii="Arial" w:hAnsi="Arial" w:cs="Arial"/>
                <w:color w:val="0070C0"/>
                <w:sz w:val="20"/>
                <w:szCs w:val="20"/>
              </w:rPr>
              <w:t>Actual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/Estimate</w:t>
            </w:r>
          </w:p>
        </w:tc>
        <w:tc>
          <w:tcPr>
            <w:tcW w:w="3605" w:type="dxa"/>
          </w:tcPr>
          <w:p w14:paraId="1B50CF98" w14:textId="5C889DD8" w:rsidR="00EE6BBF" w:rsidRPr="00360DCD" w:rsidRDefault="004921C6" w:rsidP="004430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Majority of the GA expense is based on actual.   </w:t>
            </w:r>
          </w:p>
        </w:tc>
        <w:tc>
          <w:tcPr>
            <w:tcW w:w="1870" w:type="dxa"/>
          </w:tcPr>
          <w:p w14:paraId="0638ACA6" w14:textId="31F012C3" w:rsidR="00EE6BBF" w:rsidRPr="00360DCD" w:rsidRDefault="00477B70" w:rsidP="006E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5A3A43" w:rsidRPr="003E49F3">
              <w:rPr>
                <w:rFonts w:ascii="Arial" w:hAnsi="Arial" w:cs="Arial"/>
                <w:color w:val="0070C0"/>
                <w:sz w:val="20"/>
                <w:szCs w:val="20"/>
              </w:rPr>
              <w:t>$</w:t>
            </w:r>
            <w:r w:rsidR="005A3A43">
              <w:rPr>
                <w:rFonts w:ascii="Arial" w:hAnsi="Arial" w:cs="Arial"/>
                <w:color w:val="0070C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</w:tr>
      <w:tr w:rsidR="00EE6BBF" w14:paraId="460BA033" w14:textId="77777777" w:rsidTr="004430C5">
        <w:tc>
          <w:tcPr>
            <w:tcW w:w="390" w:type="dxa"/>
          </w:tcPr>
          <w:p w14:paraId="1A858D2A" w14:textId="77777777" w:rsidR="00EE6BBF" w:rsidRPr="00360DCD" w:rsidRDefault="00EE6BBF" w:rsidP="004430C5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870" w:type="dxa"/>
          </w:tcPr>
          <w:p w14:paraId="10854D3E" w14:textId="77777777" w:rsidR="00EE6BBF" w:rsidRPr="00360DCD" w:rsidRDefault="00EE6BBF" w:rsidP="004430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and RPP/non-RPP pro-ration percentages</w:t>
            </w:r>
          </w:p>
          <w:p w14:paraId="64F0F3DA" w14:textId="77777777" w:rsidR="00EE6BBF" w:rsidRPr="00360DCD" w:rsidRDefault="00EE6BBF" w:rsidP="004430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AC7D21B" w14:textId="73118158" w:rsidR="00EE6BBF" w:rsidRPr="00360DCD" w:rsidRDefault="004921C6" w:rsidP="004430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Estimate</w:t>
            </w:r>
          </w:p>
        </w:tc>
        <w:tc>
          <w:tcPr>
            <w:tcW w:w="3605" w:type="dxa"/>
          </w:tcPr>
          <w:p w14:paraId="2ED41C78" w14:textId="0CE1B0C7" w:rsidR="00EE6BBF" w:rsidRPr="00360DCD" w:rsidRDefault="004921C6" w:rsidP="003E4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The pro-ration of RPP/Non-RPP </w:t>
            </w:r>
            <w:proofErr w:type="gramStart"/>
            <w:r>
              <w:rPr>
                <w:rFonts w:ascii="Arial" w:hAnsi="Arial" w:cs="Arial"/>
                <w:color w:val="0070C0"/>
                <w:sz w:val="20"/>
                <w:szCs w:val="20"/>
              </w:rPr>
              <w:t>is based</w:t>
            </w:r>
            <w:proofErr w:type="gramEnd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on estimate with true up to actual as billing data becomes available, including into the following calendar year.  </w:t>
            </w:r>
          </w:p>
        </w:tc>
        <w:tc>
          <w:tcPr>
            <w:tcW w:w="1870" w:type="dxa"/>
          </w:tcPr>
          <w:p w14:paraId="1A54E616" w14:textId="1445420D" w:rsidR="00EE6BBF" w:rsidRPr="00360DCD" w:rsidRDefault="00477B70" w:rsidP="005A3A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3E49F3" w:rsidRPr="003E49F3">
              <w:rPr>
                <w:rFonts w:ascii="Arial" w:hAnsi="Arial" w:cs="Arial"/>
                <w:color w:val="0070C0"/>
                <w:sz w:val="20"/>
                <w:szCs w:val="20"/>
              </w:rPr>
              <w:t>$</w:t>
            </w:r>
            <w:r w:rsidR="00AC4C2C">
              <w:rPr>
                <w:rFonts w:ascii="Arial" w:hAnsi="Arial" w:cs="Arial"/>
                <w:color w:val="0070C0"/>
                <w:sz w:val="20"/>
                <w:szCs w:val="20"/>
              </w:rPr>
              <w:t>1,635,798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</w:tr>
      <w:tr w:rsidR="00EE6BBF" w14:paraId="6AD9AF06" w14:textId="77777777" w:rsidTr="004430C5">
        <w:tc>
          <w:tcPr>
            <w:tcW w:w="390" w:type="dxa"/>
          </w:tcPr>
          <w:p w14:paraId="470DA5EF" w14:textId="77777777" w:rsidR="00EE6BBF" w:rsidRPr="00360DCD" w:rsidRDefault="00EE6BBF" w:rsidP="00005A46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</w:t>
            </w:r>
            <w:r w:rsidR="00005A4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870" w:type="dxa"/>
          </w:tcPr>
          <w:p w14:paraId="71A3A0C1" w14:textId="77777777" w:rsidR="00EE6BBF" w:rsidRPr="00360DCD" w:rsidRDefault="00EE6BBF" w:rsidP="004430C5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 xml:space="preserve">Credit of GA </w:t>
            </w:r>
            <w:r>
              <w:rPr>
                <w:rFonts w:ascii="Arial" w:hAnsi="Arial" w:cs="Arial"/>
                <w:sz w:val="20"/>
                <w:szCs w:val="20"/>
              </w:rPr>
              <w:t xml:space="preserve">RPP: Charge Type 142 </w:t>
            </w:r>
            <w:r w:rsidRPr="00360DCD">
              <w:rPr>
                <w:rFonts w:ascii="Arial" w:hAnsi="Arial" w:cs="Arial"/>
                <w:sz w:val="20"/>
                <w:szCs w:val="20"/>
              </w:rPr>
              <w:t>if the approach under IR 1b is used</w:t>
            </w:r>
          </w:p>
          <w:p w14:paraId="2D5B11A3" w14:textId="77777777" w:rsidR="00EE6BBF" w:rsidRPr="00360DCD" w:rsidRDefault="00EE6BBF" w:rsidP="004430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9C067EB" w14:textId="00D2245C" w:rsidR="00EE6BBF" w:rsidRPr="00360DCD" w:rsidRDefault="004921C6" w:rsidP="004430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Estimate</w:t>
            </w:r>
          </w:p>
        </w:tc>
        <w:tc>
          <w:tcPr>
            <w:tcW w:w="3605" w:type="dxa"/>
          </w:tcPr>
          <w:p w14:paraId="19FEF94A" w14:textId="2A15E4D1" w:rsidR="00EE6BBF" w:rsidRPr="004921C6" w:rsidRDefault="004921C6" w:rsidP="003E4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</w:t>
            </w:r>
            <w:r w:rsidRPr="007A0D0D">
              <w:rPr>
                <w:rFonts w:ascii="Arial" w:hAnsi="Arial" w:cs="Arial"/>
                <w:color w:val="0070C0"/>
                <w:sz w:val="20"/>
                <w:szCs w:val="20"/>
              </w:rPr>
              <w:t xml:space="preserve">he approach under IR 1b </w:t>
            </w:r>
            <w:proofErr w:type="gramStart"/>
            <w:r w:rsidRPr="007A0D0D">
              <w:rPr>
                <w:rFonts w:ascii="Arial" w:hAnsi="Arial" w:cs="Arial"/>
                <w:color w:val="0070C0"/>
                <w:sz w:val="20"/>
                <w:szCs w:val="20"/>
              </w:rPr>
              <w:t>is being followed</w:t>
            </w:r>
            <w:proofErr w:type="gramEnd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</w:tc>
        <w:tc>
          <w:tcPr>
            <w:tcW w:w="1870" w:type="dxa"/>
          </w:tcPr>
          <w:p w14:paraId="3780FF94" w14:textId="1FE39EA2" w:rsidR="00EE6BBF" w:rsidRPr="00360DCD" w:rsidRDefault="003E49F3" w:rsidP="00477B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49F3">
              <w:rPr>
                <w:rFonts w:ascii="Arial" w:hAnsi="Arial" w:cs="Arial"/>
                <w:color w:val="0070C0"/>
                <w:sz w:val="20"/>
                <w:szCs w:val="20"/>
              </w:rPr>
              <w:t>$</w:t>
            </w:r>
            <w:r w:rsidR="00AC4C2C">
              <w:rPr>
                <w:rFonts w:ascii="Arial" w:hAnsi="Arial" w:cs="Arial"/>
                <w:color w:val="0070C0"/>
                <w:sz w:val="20"/>
                <w:szCs w:val="20"/>
              </w:rPr>
              <w:t>1,371,4</w:t>
            </w:r>
            <w:r w:rsidR="00477B70">
              <w:rPr>
                <w:rFonts w:ascii="Arial" w:hAnsi="Arial" w:cs="Arial"/>
                <w:color w:val="0070C0"/>
                <w:sz w:val="20"/>
                <w:szCs w:val="20"/>
              </w:rPr>
              <w:t>26</w:t>
            </w:r>
          </w:p>
        </w:tc>
      </w:tr>
    </w:tbl>
    <w:p w14:paraId="08CD9ADD" w14:textId="77777777" w:rsidR="001B4F0C" w:rsidRDefault="001B4F0C" w:rsidP="00481A63">
      <w:pPr>
        <w:rPr>
          <w:rFonts w:ascii="Arial" w:hAnsi="Arial" w:cs="Arial"/>
          <w:sz w:val="24"/>
        </w:rPr>
      </w:pPr>
    </w:p>
    <w:p w14:paraId="5130FF58" w14:textId="100806B0" w:rsidR="004921C6" w:rsidRDefault="004921C6" w:rsidP="00481A63">
      <w:pPr>
        <w:rPr>
          <w:rFonts w:ascii="Arial" w:hAnsi="Arial" w:cs="Arial"/>
          <w:sz w:val="24"/>
        </w:rPr>
      </w:pPr>
    </w:p>
    <w:p w14:paraId="334242C3" w14:textId="77777777" w:rsidR="004921C6" w:rsidRDefault="004921C6" w:rsidP="00481A63">
      <w:pPr>
        <w:rPr>
          <w:rFonts w:ascii="Arial" w:hAnsi="Arial" w:cs="Arial"/>
          <w:sz w:val="24"/>
        </w:rPr>
      </w:pPr>
    </w:p>
    <w:p w14:paraId="1E7D5D3C" w14:textId="77777777" w:rsidR="004921C6" w:rsidRDefault="004921C6" w:rsidP="00481A63">
      <w:pPr>
        <w:rPr>
          <w:rFonts w:ascii="Arial" w:hAnsi="Arial" w:cs="Arial"/>
          <w:sz w:val="24"/>
        </w:rPr>
      </w:pPr>
    </w:p>
    <w:p w14:paraId="60DDEF9A" w14:textId="77777777" w:rsidR="004921C6" w:rsidRDefault="004921C6" w:rsidP="00481A63">
      <w:pPr>
        <w:rPr>
          <w:rFonts w:ascii="Arial" w:hAnsi="Arial" w:cs="Arial"/>
          <w:sz w:val="24"/>
        </w:rPr>
      </w:pPr>
    </w:p>
    <w:p w14:paraId="3A3100B5" w14:textId="77777777" w:rsidR="004921C6" w:rsidRDefault="004921C6" w:rsidP="00481A63">
      <w:pPr>
        <w:rPr>
          <w:rFonts w:ascii="Arial" w:hAnsi="Arial" w:cs="Arial"/>
          <w:sz w:val="24"/>
        </w:rPr>
      </w:pPr>
    </w:p>
    <w:p w14:paraId="3CDA384C" w14:textId="77777777" w:rsidR="004921C6" w:rsidRDefault="004921C6" w:rsidP="00481A63">
      <w:pPr>
        <w:rPr>
          <w:rFonts w:ascii="Arial" w:hAnsi="Arial" w:cs="Arial"/>
          <w:sz w:val="24"/>
        </w:rPr>
      </w:pPr>
    </w:p>
    <w:p w14:paraId="176D3D59" w14:textId="3DB8DD0F" w:rsidR="004921C6" w:rsidRPr="004921C6" w:rsidRDefault="004921C6" w:rsidP="004921C6">
      <w:pPr>
        <w:rPr>
          <w:rFonts w:ascii="Arial" w:hAnsi="Arial" w:cs="Arial"/>
          <w:color w:val="0070C0"/>
          <w:sz w:val="24"/>
          <w:lang w:val="en-CA"/>
        </w:rPr>
      </w:pPr>
      <w:r w:rsidRPr="004921C6">
        <w:rPr>
          <w:rFonts w:ascii="Arial" w:hAnsi="Arial" w:cs="Arial"/>
          <w:color w:val="0070C0"/>
          <w:sz w:val="24"/>
          <w:lang w:val="en-CA"/>
        </w:rPr>
        <w:lastRenderedPageBreak/>
        <w:t xml:space="preserve">Response to reconciling item </w:t>
      </w:r>
      <w:r>
        <w:rPr>
          <w:rFonts w:ascii="Arial" w:hAnsi="Arial" w:cs="Arial"/>
          <w:color w:val="0070C0"/>
          <w:sz w:val="24"/>
          <w:lang w:val="en-CA"/>
        </w:rPr>
        <w:t>1b</w:t>
      </w:r>
      <w:r w:rsidRPr="004921C6">
        <w:rPr>
          <w:rFonts w:ascii="Arial" w:hAnsi="Arial" w:cs="Arial"/>
          <w:color w:val="0070C0"/>
          <w:sz w:val="24"/>
          <w:lang w:val="en-CA"/>
        </w:rPr>
        <w:t xml:space="preserve"> – December </w:t>
      </w:r>
      <w:r>
        <w:rPr>
          <w:rFonts w:ascii="Arial" w:hAnsi="Arial" w:cs="Arial"/>
          <w:color w:val="0070C0"/>
          <w:sz w:val="24"/>
          <w:lang w:val="en-CA"/>
        </w:rPr>
        <w:t>31, 2016</w:t>
      </w:r>
      <w:r w:rsidRPr="004921C6">
        <w:rPr>
          <w:rFonts w:ascii="Arial" w:hAnsi="Arial" w:cs="Arial"/>
          <w:color w:val="0070C0"/>
          <w:sz w:val="24"/>
          <w:lang w:val="en-CA"/>
        </w:rPr>
        <w:t xml:space="preserve"> amount o</w:t>
      </w:r>
      <w:r>
        <w:rPr>
          <w:rFonts w:ascii="Arial" w:hAnsi="Arial" w:cs="Arial"/>
          <w:color w:val="0070C0"/>
          <w:sz w:val="24"/>
          <w:lang w:val="en-CA"/>
        </w:rPr>
        <w:t>f</w:t>
      </w:r>
      <w:r w:rsidRPr="004921C6">
        <w:rPr>
          <w:rFonts w:ascii="Arial" w:hAnsi="Arial" w:cs="Arial"/>
          <w:color w:val="0070C0"/>
          <w:sz w:val="24"/>
          <w:lang w:val="en-CA"/>
        </w:rPr>
        <w:t xml:space="preserve"> $</w:t>
      </w:r>
      <w:r>
        <w:rPr>
          <w:rFonts w:ascii="Arial" w:hAnsi="Arial" w:cs="Arial"/>
          <w:color w:val="0070C0"/>
          <w:sz w:val="24"/>
          <w:lang w:val="en-CA"/>
        </w:rPr>
        <w:t>633,729</w:t>
      </w: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390"/>
        <w:gridCol w:w="1870"/>
        <w:gridCol w:w="1870"/>
        <w:gridCol w:w="3605"/>
        <w:gridCol w:w="1870"/>
      </w:tblGrid>
      <w:tr w:rsidR="004921C6" w14:paraId="2C6F6665" w14:textId="77777777" w:rsidTr="00CD7E61">
        <w:tc>
          <w:tcPr>
            <w:tcW w:w="390" w:type="dxa"/>
          </w:tcPr>
          <w:p w14:paraId="0938CA6F" w14:textId="77777777" w:rsidR="004921C6" w:rsidRPr="00360DCD" w:rsidRDefault="004921C6" w:rsidP="00CD7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2BAB9E5" w14:textId="77777777" w:rsidR="004921C6" w:rsidRPr="00360DCD" w:rsidRDefault="004921C6" w:rsidP="00CD7E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1870" w:type="dxa"/>
          </w:tcPr>
          <w:p w14:paraId="307A8186" w14:textId="77777777" w:rsidR="004921C6" w:rsidRPr="00360DCD" w:rsidRDefault="004921C6" w:rsidP="00CD7E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a) Estimate or Actual</w:t>
            </w:r>
          </w:p>
        </w:tc>
        <w:tc>
          <w:tcPr>
            <w:tcW w:w="3605" w:type="dxa"/>
          </w:tcPr>
          <w:p w14:paraId="66C7CAC4" w14:textId="77777777" w:rsidR="004921C6" w:rsidRPr="00360DCD" w:rsidRDefault="004921C6" w:rsidP="00CD7E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Notes/Comments</w:t>
            </w:r>
          </w:p>
        </w:tc>
        <w:tc>
          <w:tcPr>
            <w:tcW w:w="1870" w:type="dxa"/>
          </w:tcPr>
          <w:p w14:paraId="19BAC049" w14:textId="77777777" w:rsidR="004921C6" w:rsidRPr="00360DCD" w:rsidRDefault="004921C6" w:rsidP="00CD7E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b) Quantify True Up  Adjustment</w:t>
            </w:r>
          </w:p>
        </w:tc>
      </w:tr>
      <w:tr w:rsidR="004921C6" w14:paraId="1AD4484B" w14:textId="77777777" w:rsidTr="00CD7E61">
        <w:tc>
          <w:tcPr>
            <w:tcW w:w="390" w:type="dxa"/>
          </w:tcPr>
          <w:p w14:paraId="48B7FB2C" w14:textId="77777777" w:rsidR="004921C6" w:rsidRPr="00360DCD" w:rsidRDefault="004921C6" w:rsidP="00CD7E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DC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870" w:type="dxa"/>
          </w:tcPr>
          <w:p w14:paraId="552B8F97" w14:textId="77777777" w:rsidR="004921C6" w:rsidRPr="00360DCD" w:rsidRDefault="004921C6" w:rsidP="00CD7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to the quantum dollar amount </w:t>
            </w:r>
            <w:r>
              <w:rPr>
                <w:rFonts w:ascii="Arial" w:hAnsi="Arial" w:cs="Arial"/>
                <w:sz w:val="20"/>
                <w:szCs w:val="20"/>
              </w:rPr>
              <w:t>(i.e. is expense based on IESO invoice at year end)</w:t>
            </w:r>
          </w:p>
          <w:p w14:paraId="03306E13" w14:textId="77777777" w:rsidR="004921C6" w:rsidRPr="00360DCD" w:rsidRDefault="004921C6" w:rsidP="00CD7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3FB76B0" w14:textId="092484E3" w:rsidR="004921C6" w:rsidRPr="00360DCD" w:rsidRDefault="004921C6" w:rsidP="00CD7E61">
            <w:pPr>
              <w:rPr>
                <w:rFonts w:ascii="Arial" w:hAnsi="Arial" w:cs="Arial"/>
                <w:sz w:val="20"/>
                <w:szCs w:val="20"/>
              </w:rPr>
            </w:pPr>
            <w:r w:rsidRPr="007A0D0D">
              <w:rPr>
                <w:rFonts w:ascii="Arial" w:hAnsi="Arial" w:cs="Arial"/>
                <w:color w:val="0070C0"/>
                <w:sz w:val="20"/>
                <w:szCs w:val="20"/>
              </w:rPr>
              <w:t>Actual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/Estimate</w:t>
            </w:r>
          </w:p>
        </w:tc>
        <w:tc>
          <w:tcPr>
            <w:tcW w:w="3605" w:type="dxa"/>
          </w:tcPr>
          <w:p w14:paraId="11052917" w14:textId="034C5B44" w:rsidR="004921C6" w:rsidRPr="00360DCD" w:rsidRDefault="004921C6" w:rsidP="00CD7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Majority of the GA expense is based on actual.   </w:t>
            </w:r>
          </w:p>
        </w:tc>
        <w:tc>
          <w:tcPr>
            <w:tcW w:w="1870" w:type="dxa"/>
          </w:tcPr>
          <w:p w14:paraId="0E061806" w14:textId="37383279" w:rsidR="004921C6" w:rsidRPr="00360DCD" w:rsidRDefault="003E49F3" w:rsidP="005A3A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49F3">
              <w:rPr>
                <w:rFonts w:ascii="Arial" w:hAnsi="Arial" w:cs="Arial"/>
                <w:color w:val="0070C0"/>
                <w:sz w:val="20"/>
                <w:szCs w:val="20"/>
              </w:rPr>
              <w:t>$</w:t>
            </w:r>
            <w:r w:rsidR="005A3A43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</w:p>
        </w:tc>
      </w:tr>
      <w:tr w:rsidR="004921C6" w14:paraId="665750B2" w14:textId="77777777" w:rsidTr="00CD7E61">
        <w:tc>
          <w:tcPr>
            <w:tcW w:w="390" w:type="dxa"/>
          </w:tcPr>
          <w:p w14:paraId="5CE61BDE" w14:textId="77777777" w:rsidR="004921C6" w:rsidRPr="00360DCD" w:rsidRDefault="004921C6" w:rsidP="00CD7E61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870" w:type="dxa"/>
          </w:tcPr>
          <w:p w14:paraId="02C7FD74" w14:textId="77777777" w:rsidR="004921C6" w:rsidRPr="00360DCD" w:rsidRDefault="004921C6" w:rsidP="00CD7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and RPP/non-RPP pro-ration percentages</w:t>
            </w:r>
          </w:p>
          <w:p w14:paraId="4D52EA89" w14:textId="77777777" w:rsidR="004921C6" w:rsidRPr="00360DCD" w:rsidRDefault="004921C6" w:rsidP="00CD7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0FC67BC" w14:textId="31800B84" w:rsidR="004921C6" w:rsidRPr="00360DCD" w:rsidRDefault="004921C6" w:rsidP="00CD7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Estimate</w:t>
            </w:r>
          </w:p>
        </w:tc>
        <w:tc>
          <w:tcPr>
            <w:tcW w:w="3605" w:type="dxa"/>
          </w:tcPr>
          <w:p w14:paraId="6E24593B" w14:textId="3603B9A0" w:rsidR="004921C6" w:rsidRPr="00360DCD" w:rsidRDefault="003E49F3" w:rsidP="00CD7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The pro-ration of RPP/Non-RPP </w:t>
            </w:r>
            <w:proofErr w:type="gramStart"/>
            <w:r>
              <w:rPr>
                <w:rFonts w:ascii="Arial" w:hAnsi="Arial" w:cs="Arial"/>
                <w:color w:val="0070C0"/>
                <w:sz w:val="20"/>
                <w:szCs w:val="20"/>
              </w:rPr>
              <w:t>is based</w:t>
            </w:r>
            <w:proofErr w:type="gramEnd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on estimate with true up to actual as billing data becomes available, including into the following calendar year.  </w:t>
            </w:r>
          </w:p>
        </w:tc>
        <w:tc>
          <w:tcPr>
            <w:tcW w:w="1870" w:type="dxa"/>
          </w:tcPr>
          <w:p w14:paraId="038026A6" w14:textId="16432199" w:rsidR="004921C6" w:rsidRPr="00360DCD" w:rsidRDefault="005A3A43" w:rsidP="005A3A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AC4C2C" w:rsidRPr="003E49F3">
              <w:rPr>
                <w:rFonts w:ascii="Arial" w:hAnsi="Arial" w:cs="Arial"/>
                <w:color w:val="0070C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284,576)</w:t>
            </w:r>
          </w:p>
        </w:tc>
      </w:tr>
      <w:tr w:rsidR="003E49F3" w14:paraId="4851E858" w14:textId="77777777" w:rsidTr="00CD7E61">
        <w:tc>
          <w:tcPr>
            <w:tcW w:w="390" w:type="dxa"/>
          </w:tcPr>
          <w:p w14:paraId="3EBFA4D1" w14:textId="77777777" w:rsidR="003E49F3" w:rsidRPr="00360DCD" w:rsidRDefault="003E49F3" w:rsidP="00CD7E61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870" w:type="dxa"/>
          </w:tcPr>
          <w:p w14:paraId="5922ABD5" w14:textId="77777777" w:rsidR="003E49F3" w:rsidRPr="00360DCD" w:rsidRDefault="003E49F3" w:rsidP="00CD7E61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 xml:space="preserve">Credit of GA </w:t>
            </w:r>
            <w:r>
              <w:rPr>
                <w:rFonts w:ascii="Arial" w:hAnsi="Arial" w:cs="Arial"/>
                <w:sz w:val="20"/>
                <w:szCs w:val="20"/>
              </w:rPr>
              <w:t xml:space="preserve">RPP: Charge Type 142 </w:t>
            </w:r>
            <w:r w:rsidRPr="00360DCD">
              <w:rPr>
                <w:rFonts w:ascii="Arial" w:hAnsi="Arial" w:cs="Arial"/>
                <w:sz w:val="20"/>
                <w:szCs w:val="20"/>
              </w:rPr>
              <w:t>if the approach under IR 1b is used</w:t>
            </w:r>
          </w:p>
          <w:p w14:paraId="2226F647" w14:textId="77777777" w:rsidR="003E49F3" w:rsidRPr="00360DCD" w:rsidRDefault="003E49F3" w:rsidP="00CD7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BC2CAD9" w14:textId="1846852F" w:rsidR="003E49F3" w:rsidRPr="00360DCD" w:rsidRDefault="003E49F3" w:rsidP="00CD7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Estimate</w:t>
            </w:r>
          </w:p>
        </w:tc>
        <w:tc>
          <w:tcPr>
            <w:tcW w:w="3605" w:type="dxa"/>
          </w:tcPr>
          <w:p w14:paraId="0AECC47F" w14:textId="7BEA8D57" w:rsidR="003E49F3" w:rsidRPr="00360DCD" w:rsidRDefault="003E49F3" w:rsidP="00CD7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</w:t>
            </w:r>
            <w:r w:rsidRPr="007A0D0D">
              <w:rPr>
                <w:rFonts w:ascii="Arial" w:hAnsi="Arial" w:cs="Arial"/>
                <w:color w:val="0070C0"/>
                <w:sz w:val="20"/>
                <w:szCs w:val="20"/>
              </w:rPr>
              <w:t xml:space="preserve">he approach under IR 1b </w:t>
            </w:r>
            <w:proofErr w:type="gramStart"/>
            <w:r w:rsidRPr="007A0D0D">
              <w:rPr>
                <w:rFonts w:ascii="Arial" w:hAnsi="Arial" w:cs="Arial"/>
                <w:color w:val="0070C0"/>
                <w:sz w:val="20"/>
                <w:szCs w:val="20"/>
              </w:rPr>
              <w:t>is being followed</w:t>
            </w:r>
            <w:proofErr w:type="gramEnd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</w:tc>
        <w:tc>
          <w:tcPr>
            <w:tcW w:w="1870" w:type="dxa"/>
          </w:tcPr>
          <w:p w14:paraId="383AF190" w14:textId="0D8A1D07" w:rsidR="003E49F3" w:rsidRPr="00AC4C2C" w:rsidRDefault="00AC4C2C" w:rsidP="005A3A43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$</w:t>
            </w:r>
            <w:r w:rsidR="005A3A43">
              <w:rPr>
                <w:rFonts w:ascii="Arial" w:hAnsi="Arial" w:cs="Arial"/>
                <w:color w:val="0070C0"/>
                <w:sz w:val="20"/>
                <w:szCs w:val="20"/>
              </w:rPr>
              <w:t>918,303</w:t>
            </w:r>
          </w:p>
        </w:tc>
      </w:tr>
    </w:tbl>
    <w:p w14:paraId="094B594E" w14:textId="77777777" w:rsidR="004921C6" w:rsidRPr="00CE4AE7" w:rsidRDefault="004921C6" w:rsidP="004921C6">
      <w:pPr>
        <w:rPr>
          <w:rFonts w:ascii="Arial" w:hAnsi="Arial" w:cs="Arial"/>
          <w:sz w:val="24"/>
        </w:rPr>
      </w:pPr>
    </w:p>
    <w:p w14:paraId="53FEBB11" w14:textId="77777777" w:rsidR="004921C6" w:rsidRPr="00CE4AE7" w:rsidRDefault="004921C6" w:rsidP="00481A63">
      <w:pPr>
        <w:rPr>
          <w:rFonts w:ascii="Arial" w:hAnsi="Arial" w:cs="Arial"/>
          <w:sz w:val="24"/>
        </w:rPr>
      </w:pPr>
    </w:p>
    <w:sectPr w:rsidR="004921C6" w:rsidRPr="00CE4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E0327"/>
    <w:multiLevelType w:val="hybridMultilevel"/>
    <w:tmpl w:val="44E095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56CEF"/>
    <w:multiLevelType w:val="hybridMultilevel"/>
    <w:tmpl w:val="067AE1CC"/>
    <w:lvl w:ilvl="0" w:tplc="3C2A7D4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B6BE6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9C"/>
    <w:rsid w:val="00005A46"/>
    <w:rsid w:val="00035CFF"/>
    <w:rsid w:val="001B4F0C"/>
    <w:rsid w:val="00315B24"/>
    <w:rsid w:val="0033649D"/>
    <w:rsid w:val="003D3FE5"/>
    <w:rsid w:val="003E49F3"/>
    <w:rsid w:val="00477B70"/>
    <w:rsid w:val="00481A63"/>
    <w:rsid w:val="004921C6"/>
    <w:rsid w:val="005A3A43"/>
    <w:rsid w:val="00655C9C"/>
    <w:rsid w:val="006E4DDD"/>
    <w:rsid w:val="007737C9"/>
    <w:rsid w:val="0079263B"/>
    <w:rsid w:val="008828BE"/>
    <w:rsid w:val="008F56B9"/>
    <w:rsid w:val="009823C5"/>
    <w:rsid w:val="009C76F7"/>
    <w:rsid w:val="00AC4C2C"/>
    <w:rsid w:val="00CE4AE7"/>
    <w:rsid w:val="00D923E9"/>
    <w:rsid w:val="00DD3CCB"/>
    <w:rsid w:val="00EE6BBF"/>
    <w:rsid w:val="00E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E7B8"/>
  <w15:docId w15:val="{FBBA238D-A0F4-4E5E-A168-F2F23E0E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BBF"/>
    <w:pPr>
      <w:spacing w:after="200" w:line="276" w:lineRule="auto"/>
      <w:ind w:left="720"/>
      <w:contextualSpacing/>
    </w:pPr>
    <w:rPr>
      <w:lang w:val="en-CA"/>
    </w:rPr>
  </w:style>
  <w:style w:type="table" w:styleId="TableGrid">
    <w:name w:val="Table Grid"/>
    <w:basedOn w:val="TableNormal"/>
    <w:uiPriority w:val="59"/>
    <w:rsid w:val="00EE6BBF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5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8bb3d4-4679-4201-bf4e-ecf5a190cbdc">HOLFIN-1018676329-295</_dlc_DocId>
    <_dlc_DocIdUrl xmlns="2b8bb3d4-4679-4201-bf4e-ecf5a190cbdc">
      <Url>http://spapp01/sites/FIN/REG/AnnualUpdates/_layouts/DocIdRedir.aspx?ID=HOLFIN-1018676329-295</Url>
      <Description>HOLFIN-1018676329-295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D6AD195366F4297031B32EC3866AF" ma:contentTypeVersion="0" ma:contentTypeDescription="Create a new document." ma:contentTypeScope="" ma:versionID="90653db64c800f964ccfce0f412b8d15">
  <xsd:schema xmlns:xsd="http://www.w3.org/2001/XMLSchema" xmlns:xs="http://www.w3.org/2001/XMLSchema" xmlns:p="http://schemas.microsoft.com/office/2006/metadata/properties" xmlns:ns2="2b8bb3d4-4679-4201-bf4e-ecf5a190cbdc" targetNamespace="http://schemas.microsoft.com/office/2006/metadata/properties" ma:root="true" ma:fieldsID="44fb956c0ba4511dc61cc0c18309f14b" ns2:_="">
    <xsd:import namespace="2b8bb3d4-4679-4201-bf4e-ecf5a190cb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bb3d4-4679-4201-bf4e-ecf5a190cb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9d54efc9-ddd0-46ce-8ac6-e4a1c98f1b3f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72B717-FD20-4DB4-9593-73C9E1FA57D0}">
  <ds:schemaRefs>
    <ds:schemaRef ds:uri="http://purl.org/dc/terms/"/>
    <ds:schemaRef ds:uri="2b8bb3d4-4679-4201-bf4e-ecf5a190cbdc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03B42A-1828-48F6-9330-F724AEB02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bb3d4-4679-4201-bf4e-ecf5a190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E6722-8F54-47EF-B241-8974FF192F6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234E4F-6A2F-4506-941D-F766EFDE374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81A8F1A-D977-4ED0-A30F-BEEB82AB3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Wang</dc:creator>
  <cp:lastModifiedBy>Christiane Wong</cp:lastModifiedBy>
  <cp:revision>2</cp:revision>
  <cp:lastPrinted>2017-10-20T13:56:00Z</cp:lastPrinted>
  <dcterms:created xsi:type="dcterms:W3CDTF">2017-11-02T12:26:00Z</dcterms:created>
  <dcterms:modified xsi:type="dcterms:W3CDTF">2017-11-02T12:26:00Z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0x010100028D6AD195366F4297031B32EC3866AF</vt:lpwstr>
  </property>
  <property fmtid="{D5CDD505-2E9C-101B-9397-08002B2CF9AE}" pid="3" name="_dlc_DocIdItemGuid">
    <vt:lpwstr>9fa8bf62-9276-4dd8-a7ff-c14c15e8ffcb</vt:lpwstr>
  </property>
</Properties>
</file>